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6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/>
      </w:pPr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21 марта 2022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Гаражная амнистия должна быть доступной для всех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Самарской области расширят список документов, которыми граждане смогут подтвердить свое законное право на оформление гаража по гаражной амнистии.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 заседании комитета Самарской Губернской Думы по сельскому хозяйству и продовольствию с участием представителей Управления Росреестра по Самарской области, прокуратуры Самарской области, областного министерства имущества и муниципалитетов принято решение рекомендовать принять поправки в областной закон «О земле».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cs="Times New Roman" w:hAnsi="Times New Roman"/>
          <w:b/>
          <w:sz w:val="28"/>
          <w:szCs w:val="28"/>
        </w:rPr>
        <w:t>Николай Сомов</w:t>
      </w:r>
      <w:r>
        <w:rPr>
          <w:rFonts w:ascii="Times New Roman" w:cs="Times New Roman" w:hAnsi="Times New Roman"/>
          <w:sz w:val="28"/>
          <w:szCs w:val="28"/>
        </w:rPr>
        <w:t xml:space="preserve"> представил результаты анализа практики отказов органов местного самоуправления в предоставлении земельных участков по гаражной амнистии. Юристы дали оценку документам, имеющимся у заявителей, которые можно рассмотреть в качестве основания для выделения земли гражданам на льготных условиях. В связи с этим Самарской Губернской Думой разработан законопроект, который расширит список документов, позволяющих оформить землю и расположенный на нем гараж.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i/>
          <w:sz w:val="28"/>
          <w:szCs w:val="28"/>
        </w:rPr>
        <w:t>В дополнение к федеральному списку документов появится региональный. В него в частности войдут следующие: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года,</w:t>
      </w:r>
      <w:r>
        <w:rPr>
          <w:rFonts w:ascii="Times New Roman" w:cs="Times New Roman" w:hAnsi="Times New Roman"/>
          <w:sz w:val="28"/>
          <w:szCs w:val="28"/>
        </w:rPr>
        <w:t xml:space="preserve"> - рассказал заместитель начальника отдела правового обеспечения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Константин Минин</w:t>
      </w:r>
      <w:r>
        <w:rPr>
          <w:rFonts w:ascii="Times New Roman" w:cs="Times New Roman" w:hAnsi="Times New Roman"/>
          <w:sz w:val="28"/>
          <w:szCs w:val="28"/>
        </w:rPr>
        <w:t xml:space="preserve">, который курирует тему гаражной амнистии в рамках работы Центра компетенций.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Он также сообщил, что Управление Росреестра как Центр компетенций анализирует обращения граждан по вопросам регистрации недвижимости в порядке гаражной амнистии и проводит консультации для муниципалитетов, МФЦ, кадастровых инженеров и граждан, чтобы в Самарской области все желающие смогли оформить недвижимость по упрощенному порядку.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3">
        <w:r>
          <w:rPr>
            <w:rStyle w:val="style16"/>
            <w:rFonts w:ascii="Times New Roman" w:cs="Times New Roman" w:hAnsi="Times New Roman"/>
            <w:sz w:val="28"/>
            <w:szCs w:val="28"/>
          </w:rPr>
          <w:t>https://rosreestr.gov.ru/activity/normativno-pravovoe-regulirovanie-v-sfere-nedvizhimosti/pozitsii-po-voprosam-pravoprimeneniya/o-realizatsii-polozheniy-federalnogo-zakona-ot-05-04-2021-79-fz-o-vnesenii-izmeneniy-v-otdelnye-zako/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 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</w:t>
      </w: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4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6.png"/><Relationship Id="rId3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4" Type="http://schemas.openxmlformats.org/officeDocument/2006/relationships/hyperlink" Target="mailto:pr.samara@mail.ru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2022-03-22T04:42:00.00Z</dcterms:created>
  <dc:creator>Никитина Ольга Александровна</dc:creator>
  <cp:lastModifiedBy>Говорова Елена Геннадиевна</cp:lastModifiedBy>
  <dcterms:modified xsi:type="dcterms:W3CDTF">2022-03-22T04:42:00.00Z</dcterms:modified>
  <cp:revision>2</cp:revision>
</cp:coreProperties>
</file>